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9ABE5" w14:textId="77777777" w:rsidR="002173A7" w:rsidRDefault="002173A7"/>
    <w:p w14:paraId="07044F5B" w14:textId="77777777" w:rsidR="002173A7" w:rsidRPr="003A78C0" w:rsidRDefault="003A78C0">
      <w:pPr>
        <w:rPr>
          <w:rFonts w:ascii="Century Gothic" w:hAnsi="Century Gothic"/>
          <w:b/>
          <w:sz w:val="22"/>
          <w:szCs w:val="22"/>
        </w:rPr>
      </w:pPr>
      <w:r w:rsidRPr="003A78C0">
        <w:rPr>
          <w:rFonts w:ascii="Century Gothic" w:hAnsi="Century Gothic"/>
          <w:b/>
          <w:sz w:val="22"/>
          <w:szCs w:val="22"/>
        </w:rPr>
        <w:t>MEDIA RELEASE</w:t>
      </w:r>
    </w:p>
    <w:p w14:paraId="4B64FD8C" w14:textId="0D766432" w:rsidR="002173A7" w:rsidRPr="003A78C0" w:rsidRDefault="003A78C0">
      <w:pPr>
        <w:rPr>
          <w:rFonts w:ascii="Century Gothic" w:hAnsi="Century Gothic"/>
          <w:sz w:val="22"/>
          <w:szCs w:val="22"/>
        </w:rPr>
      </w:pPr>
      <w:r w:rsidRPr="003A78C0">
        <w:rPr>
          <w:rFonts w:ascii="Century Gothic" w:hAnsi="Century Gothic"/>
          <w:i/>
          <w:sz w:val="22"/>
          <w:szCs w:val="22"/>
        </w:rPr>
        <w:t>For immediate release</w:t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="007E088C">
        <w:rPr>
          <w:rFonts w:ascii="Century Gothic" w:hAnsi="Century Gothic"/>
          <w:sz w:val="22"/>
          <w:szCs w:val="22"/>
        </w:rPr>
        <w:t xml:space="preserve">                  </w:t>
      </w:r>
      <w:r w:rsidR="000F71C1">
        <w:rPr>
          <w:rFonts w:ascii="Century Gothic" w:hAnsi="Century Gothic"/>
          <w:sz w:val="22"/>
          <w:szCs w:val="22"/>
        </w:rPr>
        <w:t>November</w:t>
      </w:r>
      <w:r w:rsidR="00512670">
        <w:rPr>
          <w:rFonts w:ascii="Century Gothic" w:hAnsi="Century Gothic"/>
          <w:sz w:val="22"/>
          <w:szCs w:val="22"/>
        </w:rPr>
        <w:t xml:space="preserve"> </w:t>
      </w:r>
      <w:r w:rsidRPr="003A78C0">
        <w:rPr>
          <w:rFonts w:ascii="Century Gothic" w:hAnsi="Century Gothic"/>
          <w:sz w:val="22"/>
          <w:szCs w:val="22"/>
        </w:rPr>
        <w:t>201</w:t>
      </w:r>
      <w:r w:rsidR="00512670">
        <w:rPr>
          <w:rFonts w:ascii="Century Gothic" w:hAnsi="Century Gothic"/>
          <w:sz w:val="22"/>
          <w:szCs w:val="22"/>
        </w:rPr>
        <w:t>9</w:t>
      </w:r>
      <w:r w:rsidR="006977A9">
        <w:rPr>
          <w:rFonts w:ascii="Century Gothic" w:hAnsi="Century Gothic"/>
          <w:sz w:val="22"/>
          <w:szCs w:val="22"/>
        </w:rPr>
        <w:br/>
      </w:r>
    </w:p>
    <w:p w14:paraId="7C5FB321" w14:textId="4C488E90" w:rsidR="006977A9" w:rsidRPr="00512670" w:rsidRDefault="000F71C1" w:rsidP="00EB4243">
      <w:pPr>
        <w:autoSpaceDE w:val="0"/>
        <w:autoSpaceDN w:val="0"/>
        <w:adjustRightInd w:val="0"/>
        <w:spacing w:after="120" w:line="360" w:lineRule="auto"/>
        <w:jc w:val="center"/>
        <w:rPr>
          <w:rFonts w:ascii="Century Gothic" w:eastAsiaTheme="minorHAnsi" w:hAnsi="Century Gothic" w:cs="Calibri"/>
          <w:color w:val="000000"/>
          <w:sz w:val="30"/>
          <w:szCs w:val="30"/>
        </w:rPr>
      </w:pPr>
      <w:r>
        <w:rPr>
          <w:rFonts w:ascii="AvantGarde" w:eastAsiaTheme="minorHAnsi" w:hAnsi="AvantGarde" w:cs="Calibri-Bold"/>
          <w:bCs/>
          <w:color w:val="002060"/>
          <w:sz w:val="30"/>
          <w:szCs w:val="30"/>
        </w:rPr>
        <w:t>Tax goldmines for renovators</w:t>
      </w:r>
    </w:p>
    <w:p w14:paraId="2BDB1703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 xml:space="preserve">Australia’s largest provider of tax depreciation schedules has revealed a list of common renovation items that hold lucrative tax deductions for property investors.  </w:t>
      </w:r>
    </w:p>
    <w:p w14:paraId="0F0E8CA9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 xml:space="preserve">BMT Tax Depreciation has worked with more than half a million Australian property investors to help them uncover legitimate tax deductions for the wear, tear, and ageing of their investment properties. </w:t>
      </w:r>
    </w:p>
    <w:p w14:paraId="3C36D635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 xml:space="preserve">The CEO of BMT, Bradley Beer said that property investors would be wise to develop their understanding of the tax benefits of certain assets as doing so could lead to a more successful renovation project from multiple angles. </w:t>
      </w:r>
    </w:p>
    <w:p w14:paraId="1EC48C8B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>“Many property owners renovate to add value to their property but often fail to take into account the tax ramifications of different renovation strategies,” said Bradley Beer.</w:t>
      </w:r>
    </w:p>
    <w:p w14:paraId="75506970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>“By considering the depreciable value of renovation items before starting work, investors can enjoy the double benefit of improving their cash flow and increasing the value of their property."</w:t>
      </w:r>
    </w:p>
    <w:p w14:paraId="28E9EFB1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 xml:space="preserve">From a list of common renovation items, </w:t>
      </w:r>
      <w:proofErr w:type="spellStart"/>
      <w:r w:rsidRPr="000F71C1">
        <w:rPr>
          <w:rFonts w:ascii="Century Gothic" w:hAnsi="Century Gothic"/>
          <w:sz w:val="20"/>
          <w:szCs w:val="20"/>
        </w:rPr>
        <w:t>Mr</w:t>
      </w:r>
      <w:proofErr w:type="spellEnd"/>
      <w:r w:rsidRPr="000F71C1">
        <w:rPr>
          <w:rFonts w:ascii="Century Gothic" w:hAnsi="Century Gothic"/>
          <w:sz w:val="20"/>
          <w:szCs w:val="20"/>
        </w:rPr>
        <w:t xml:space="preserve"> Beer singled out carpet, split system air conditioners, curtains and removable light shades as assets that can have lucrative tax benefits for owners of income producing properties. </w:t>
      </w:r>
    </w:p>
    <w:p w14:paraId="319D1279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 xml:space="preserve">“New carpet that costs $4,000 can not only make a property more attractive for tenants but holds a remarkable $1,000 in tax deductions in the first year alone. To put this into perspective, a property investor who installs tiles of the same value can only claim a </w:t>
      </w:r>
      <w:proofErr w:type="gramStart"/>
      <w:r w:rsidRPr="000F71C1">
        <w:rPr>
          <w:rFonts w:ascii="Century Gothic" w:hAnsi="Century Gothic"/>
          <w:sz w:val="20"/>
          <w:szCs w:val="20"/>
        </w:rPr>
        <w:t>first year</w:t>
      </w:r>
      <w:proofErr w:type="gramEnd"/>
      <w:r w:rsidRPr="000F71C1">
        <w:rPr>
          <w:rFonts w:ascii="Century Gothic" w:hAnsi="Century Gothic"/>
          <w:sz w:val="20"/>
          <w:szCs w:val="20"/>
        </w:rPr>
        <w:t xml:space="preserve"> deduction of $100,” said Bradley Beer. </w:t>
      </w:r>
    </w:p>
    <w:p w14:paraId="71DA7622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>“By simply considering the depreciable value of these flooring assets, a savvy investor can boost their cash flow by $900 after renovations in the first year.”</w:t>
      </w:r>
    </w:p>
    <w:p w14:paraId="64F2EFCF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0F71C1">
        <w:rPr>
          <w:rFonts w:ascii="Century Gothic" w:hAnsi="Century Gothic"/>
          <w:sz w:val="20"/>
          <w:szCs w:val="20"/>
        </w:rPr>
        <w:t>Mr</w:t>
      </w:r>
      <w:proofErr w:type="spellEnd"/>
      <w:r w:rsidRPr="000F71C1">
        <w:rPr>
          <w:rFonts w:ascii="Century Gothic" w:hAnsi="Century Gothic"/>
          <w:sz w:val="20"/>
          <w:szCs w:val="20"/>
        </w:rPr>
        <w:t xml:space="preserve"> Beer also noted that complementing the new carpet with $2,000 worth of curtains can entitle the property investor to claim an additional $667 in the first year. By comparison, shutters of the same value allow a deduction of just $50.</w:t>
      </w:r>
    </w:p>
    <w:p w14:paraId="56E6C2F9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 xml:space="preserve">Property investors can apply the same principle to multiple items that are commonly purchased and installed during renovations including air conditioning systems and lighting. </w:t>
      </w:r>
    </w:p>
    <w:p w14:paraId="6DD29E13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 xml:space="preserve"> “Many investors have debated the merits of installing split systems. Some people in this group may not be aware that purchasing and installing two split system units for $6,000 attracts a </w:t>
      </w:r>
      <w:proofErr w:type="gramStart"/>
      <w:r w:rsidRPr="000F71C1">
        <w:rPr>
          <w:rFonts w:ascii="Century Gothic" w:hAnsi="Century Gothic"/>
          <w:sz w:val="20"/>
          <w:szCs w:val="20"/>
        </w:rPr>
        <w:t>first year</w:t>
      </w:r>
      <w:proofErr w:type="gramEnd"/>
      <w:r w:rsidRPr="000F71C1">
        <w:rPr>
          <w:rFonts w:ascii="Century Gothic" w:hAnsi="Century Gothic"/>
          <w:sz w:val="20"/>
          <w:szCs w:val="20"/>
        </w:rPr>
        <w:t xml:space="preserve"> depreciation deduction of $1,200, whereas a ducted air conditioning system only offers $800,” said Bradley Beer. </w:t>
      </w:r>
    </w:p>
    <w:p w14:paraId="44073404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lastRenderedPageBreak/>
        <w:t>“Removable light shades collectively worth $1,100 allow investors to claim a whopping $440 in the first full year of ownership. That’s nearly half the cost of the assets in the first financial year.”</w:t>
      </w:r>
    </w:p>
    <w:p w14:paraId="636353B2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0F71C1">
        <w:rPr>
          <w:rFonts w:ascii="Century Gothic" w:hAnsi="Century Gothic"/>
          <w:sz w:val="20"/>
          <w:szCs w:val="20"/>
        </w:rPr>
        <w:t>Mr</w:t>
      </w:r>
      <w:proofErr w:type="spellEnd"/>
      <w:r w:rsidRPr="000F71C1">
        <w:rPr>
          <w:rFonts w:ascii="Century Gothic" w:hAnsi="Century Gothic"/>
          <w:sz w:val="20"/>
          <w:szCs w:val="20"/>
        </w:rPr>
        <w:t xml:space="preserve"> Beer noted that significant depreciation deductions are available to investors irrespective of the size or scale of the renovation project.</w:t>
      </w:r>
    </w:p>
    <w:p w14:paraId="748EB01F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 xml:space="preserve"> “Regardless of the size of your renovation budget, most investors will be able to claim depreciation deductions in one form or another,” said Bradley Beer. </w:t>
      </w:r>
    </w:p>
    <w:p w14:paraId="21079B03" w14:textId="77777777" w:rsidR="000F71C1" w:rsidRPr="000F71C1" w:rsidRDefault="000F71C1" w:rsidP="000F71C1">
      <w:pPr>
        <w:spacing w:before="160" w:after="160" w:line="360" w:lineRule="auto"/>
        <w:jc w:val="both"/>
        <w:rPr>
          <w:rFonts w:ascii="Century Gothic" w:hAnsi="Century Gothic"/>
          <w:sz w:val="20"/>
          <w:szCs w:val="20"/>
        </w:rPr>
      </w:pPr>
      <w:r w:rsidRPr="000F71C1">
        <w:rPr>
          <w:rFonts w:ascii="Century Gothic" w:hAnsi="Century Gothic"/>
          <w:sz w:val="20"/>
          <w:szCs w:val="20"/>
        </w:rPr>
        <w:t xml:space="preserve">“Property investors looking to </w:t>
      </w:r>
      <w:proofErr w:type="spellStart"/>
      <w:r w:rsidRPr="000F71C1">
        <w:rPr>
          <w:rFonts w:ascii="Century Gothic" w:hAnsi="Century Gothic"/>
          <w:sz w:val="20"/>
          <w:szCs w:val="20"/>
        </w:rPr>
        <w:t>maximise</w:t>
      </w:r>
      <w:proofErr w:type="spellEnd"/>
      <w:r w:rsidRPr="000F71C1">
        <w:rPr>
          <w:rFonts w:ascii="Century Gothic" w:hAnsi="Century Gothic"/>
          <w:sz w:val="20"/>
          <w:szCs w:val="20"/>
        </w:rPr>
        <w:t xml:space="preserve"> their cash flow during and after renovations should speak to a qualified Quantity Surveyor before starting work. This approach could lead to a more successful renovation while helping to ensure that no items remain unclaimed at the end of the process,” said Bradley Beer. </w:t>
      </w:r>
    </w:p>
    <w:p w14:paraId="6C6F6B24" w14:textId="663A1F33" w:rsidR="006977A9" w:rsidRDefault="006977A9" w:rsidP="00D857C2"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-Bold"/>
          <w:b/>
          <w:bCs/>
          <w:color w:val="000000"/>
          <w:sz w:val="18"/>
          <w:szCs w:val="18"/>
        </w:rPr>
      </w:pPr>
      <w:r w:rsidRPr="00512670">
        <w:rPr>
          <w:rFonts w:ascii="Century Gothic" w:eastAsiaTheme="minorHAnsi" w:hAnsi="Century Gothic" w:cs="Calibri-Bold"/>
          <w:b/>
          <w:bCs/>
          <w:color w:val="000000"/>
          <w:sz w:val="20"/>
          <w:szCs w:val="20"/>
        </w:rPr>
        <w:t xml:space="preserve">- ENDS </w:t>
      </w:r>
      <w:r w:rsidR="000C2801" w:rsidRPr="00512670">
        <w:rPr>
          <w:rFonts w:ascii="Century Gothic" w:eastAsiaTheme="minorHAnsi" w:hAnsi="Century Gothic" w:cs="Calibri-Bold"/>
          <w:b/>
          <w:bCs/>
          <w:color w:val="000000"/>
          <w:sz w:val="20"/>
          <w:szCs w:val="20"/>
        </w:rPr>
        <w:t>–</w:t>
      </w:r>
      <w:r w:rsidR="000C2801" w:rsidRPr="00F55E4B">
        <w:rPr>
          <w:rFonts w:ascii="Century Gothic" w:eastAsiaTheme="minorHAnsi" w:hAnsi="Century Gothic" w:cs="Calibri-Bold"/>
          <w:b/>
          <w:bCs/>
          <w:color w:val="000000"/>
          <w:sz w:val="18"/>
          <w:szCs w:val="18"/>
        </w:rPr>
        <w:t xml:space="preserve"> </w:t>
      </w:r>
    </w:p>
    <w:p w14:paraId="5ECBE5A1" w14:textId="34D5E451" w:rsidR="000F71C1" w:rsidRDefault="000F71C1" w:rsidP="00D857C2"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-Bold"/>
          <w:b/>
          <w:bCs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9D3F8C2" wp14:editId="7BF65989">
            <wp:extent cx="4062413" cy="42728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34" cy="428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4C189" w14:textId="77777777" w:rsidR="000F71C1" w:rsidRPr="00F55E4B" w:rsidRDefault="000F71C1" w:rsidP="00D857C2"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-Bold"/>
          <w:b/>
          <w:bCs/>
          <w:color w:val="000000"/>
          <w:sz w:val="18"/>
          <w:szCs w:val="18"/>
        </w:rPr>
      </w:pPr>
    </w:p>
    <w:p w14:paraId="37FA7E59" w14:textId="77777777" w:rsidR="000F71C1" w:rsidRDefault="000F71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78DC4D42" w14:textId="77777777" w:rsidR="000F71C1" w:rsidRDefault="000F71C1">
      <w:pPr>
        <w:rPr>
          <w:rFonts w:ascii="Century Gothic" w:hAnsi="Century Gothic"/>
          <w:b/>
          <w:sz w:val="20"/>
          <w:szCs w:val="20"/>
        </w:rPr>
      </w:pPr>
    </w:p>
    <w:p w14:paraId="61A3C4ED" w14:textId="5C81C12A" w:rsidR="002173A7" w:rsidRPr="00512670" w:rsidRDefault="003A78C0">
      <w:pPr>
        <w:rPr>
          <w:rFonts w:ascii="Century Gothic" w:hAnsi="Century Gothic"/>
          <w:sz w:val="20"/>
          <w:szCs w:val="20"/>
        </w:rPr>
      </w:pPr>
      <w:r w:rsidRPr="00512670">
        <w:rPr>
          <w:rFonts w:ascii="Century Gothic" w:hAnsi="Century Gothic"/>
          <w:b/>
          <w:sz w:val="20"/>
          <w:szCs w:val="20"/>
        </w:rPr>
        <w:t>For all media enquires please contact:</w:t>
      </w:r>
      <w:r w:rsidRPr="00512670">
        <w:rPr>
          <w:rFonts w:ascii="Century Gothic" w:hAnsi="Century Gothic"/>
          <w:b/>
          <w:sz w:val="20"/>
          <w:szCs w:val="20"/>
        </w:rPr>
        <w:br/>
      </w:r>
      <w:r w:rsidRPr="00512670">
        <w:rPr>
          <w:rFonts w:ascii="Century Gothic" w:hAnsi="Century Gothic"/>
          <w:sz w:val="20"/>
          <w:szCs w:val="20"/>
        </w:rPr>
        <w:br/>
        <w:t xml:space="preserve">Bradley Beer </w:t>
      </w:r>
      <w:r w:rsidRPr="00512670">
        <w:rPr>
          <w:rFonts w:ascii="Century Gothic" w:hAnsi="Century Gothic"/>
          <w:sz w:val="20"/>
          <w:szCs w:val="20"/>
        </w:rPr>
        <w:br/>
        <w:t xml:space="preserve">CEO, BMT Tax Depreciation </w:t>
      </w:r>
      <w:r w:rsidRPr="00512670">
        <w:rPr>
          <w:rFonts w:ascii="Century Gothic" w:hAnsi="Century Gothic"/>
          <w:sz w:val="20"/>
          <w:szCs w:val="20"/>
        </w:rPr>
        <w:br/>
      </w:r>
      <w:bookmarkStart w:id="0" w:name="_GoBack"/>
      <w:bookmarkEnd w:id="0"/>
      <w:r w:rsidRPr="00512670">
        <w:rPr>
          <w:rFonts w:ascii="Century Gothic" w:hAnsi="Century Gothic"/>
          <w:sz w:val="20"/>
          <w:szCs w:val="20"/>
        </w:rPr>
        <w:br/>
        <w:t>Phone:</w:t>
      </w:r>
      <w:r w:rsidRPr="00512670">
        <w:rPr>
          <w:rFonts w:ascii="Century Gothic" w:hAnsi="Century Gothic"/>
          <w:sz w:val="20"/>
          <w:szCs w:val="20"/>
        </w:rPr>
        <w:tab/>
        <w:t xml:space="preserve">0413 271 777 </w:t>
      </w:r>
      <w:r w:rsidRPr="00512670">
        <w:rPr>
          <w:rFonts w:ascii="Century Gothic" w:hAnsi="Century Gothic"/>
          <w:sz w:val="20"/>
          <w:szCs w:val="20"/>
        </w:rPr>
        <w:br/>
        <w:t>Email:</w:t>
      </w:r>
      <w:r w:rsidRPr="00512670">
        <w:rPr>
          <w:rFonts w:ascii="Century Gothic" w:hAnsi="Century Gothic"/>
          <w:sz w:val="20"/>
          <w:szCs w:val="20"/>
        </w:rPr>
        <w:tab/>
      </w:r>
      <w:hyperlink r:id="rId9" w:history="1">
        <w:r w:rsidRPr="00512670">
          <w:rPr>
            <w:rStyle w:val="Hyperlink"/>
            <w:rFonts w:ascii="Century Gothic" w:hAnsi="Century Gothic"/>
            <w:sz w:val="20"/>
            <w:szCs w:val="20"/>
          </w:rPr>
          <w:t>media@</w:t>
        </w:r>
      </w:hyperlink>
      <w:r w:rsidRPr="00512670">
        <w:rPr>
          <w:rStyle w:val="Hyperlink"/>
          <w:rFonts w:ascii="Century Gothic" w:hAnsi="Century Gothic"/>
          <w:sz w:val="20"/>
          <w:szCs w:val="20"/>
        </w:rPr>
        <w:t>bmtqs.com.au</w:t>
      </w:r>
    </w:p>
    <w:p w14:paraId="62C69A1A" w14:textId="77777777" w:rsidR="002173A7" w:rsidRPr="00F55E4B" w:rsidRDefault="002173A7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14:paraId="7812C7C2" w14:textId="39CBDA48" w:rsidR="002173A7" w:rsidRPr="00512670" w:rsidRDefault="003A78C0" w:rsidP="000F71C1">
      <w:pPr>
        <w:rPr>
          <w:rFonts w:ascii="Century Gothic" w:hAnsi="Century Gothic"/>
          <w:b/>
          <w:sz w:val="20"/>
          <w:szCs w:val="20"/>
        </w:rPr>
      </w:pPr>
      <w:r w:rsidRPr="00512670">
        <w:rPr>
          <w:rFonts w:ascii="Century Gothic" w:hAnsi="Century Gothic"/>
          <w:b/>
          <w:sz w:val="20"/>
          <w:szCs w:val="20"/>
        </w:rPr>
        <w:t>About BMT Tax Depreciation</w:t>
      </w:r>
    </w:p>
    <w:p w14:paraId="03866866" w14:textId="77777777" w:rsidR="002173A7" w:rsidRPr="00512670" w:rsidRDefault="003A78C0">
      <w:pPr>
        <w:spacing w:line="360" w:lineRule="auto"/>
        <w:rPr>
          <w:sz w:val="20"/>
          <w:szCs w:val="20"/>
        </w:rPr>
      </w:pPr>
      <w:r w:rsidRPr="00512670">
        <w:rPr>
          <w:rFonts w:ascii="Century Gothic" w:hAnsi="Century Gothic"/>
          <w:sz w:val="20"/>
          <w:szCs w:val="20"/>
        </w:rPr>
        <w:t xml:space="preserve">BMT Tax Depreciation (BMT) is a Quantity Surveying company </w:t>
      </w:r>
      <w:proofErr w:type="spellStart"/>
      <w:r w:rsidRPr="00512670">
        <w:rPr>
          <w:rFonts w:ascii="Century Gothic" w:hAnsi="Century Gothic"/>
          <w:sz w:val="20"/>
          <w:szCs w:val="20"/>
        </w:rPr>
        <w:t>specialising</w:t>
      </w:r>
      <w:proofErr w:type="spellEnd"/>
      <w:r w:rsidRPr="00512670">
        <w:rPr>
          <w:rFonts w:ascii="Century Gothic" w:hAnsi="Century Gothic"/>
          <w:sz w:val="20"/>
          <w:szCs w:val="20"/>
        </w:rPr>
        <w:t xml:space="preserve"> in the provision of tax depreciation schedules for residential and commercial investment properties. Commencing business in 1997, demand from property investors nationally has seen business expand Australia-wide with offices now located in Sydney, Parramatta, Melbourne, Brisbane, Newcastle, Adelaide, Perth, Gold Coast, Cairns, Canberra, Hobart and Darwin.</w:t>
      </w:r>
    </w:p>
    <w:p w14:paraId="565FBB8A" w14:textId="77777777" w:rsidR="002173A7" w:rsidRDefault="002173A7">
      <w:pPr>
        <w:tabs>
          <w:tab w:val="left" w:pos="2720"/>
        </w:tabs>
      </w:pPr>
    </w:p>
    <w:p w14:paraId="31AA7699" w14:textId="77777777" w:rsidR="002173A7" w:rsidRDefault="002173A7">
      <w:pPr>
        <w:tabs>
          <w:tab w:val="left" w:pos="2720"/>
        </w:tabs>
      </w:pPr>
    </w:p>
    <w:p w14:paraId="7394A0C6" w14:textId="77777777" w:rsidR="002173A7" w:rsidRDefault="002173A7">
      <w:pPr>
        <w:tabs>
          <w:tab w:val="left" w:pos="2720"/>
        </w:tabs>
      </w:pPr>
    </w:p>
    <w:p w14:paraId="27E8B9ED" w14:textId="77777777" w:rsidR="002173A7" w:rsidRDefault="002173A7">
      <w:pPr>
        <w:tabs>
          <w:tab w:val="left" w:pos="2720"/>
        </w:tabs>
      </w:pPr>
    </w:p>
    <w:p w14:paraId="26318574" w14:textId="77777777" w:rsidR="002173A7" w:rsidRDefault="002173A7">
      <w:pPr>
        <w:tabs>
          <w:tab w:val="left" w:pos="2720"/>
        </w:tabs>
      </w:pPr>
    </w:p>
    <w:p w14:paraId="54D96A23" w14:textId="77777777" w:rsidR="002173A7" w:rsidRDefault="002173A7">
      <w:pPr>
        <w:tabs>
          <w:tab w:val="left" w:pos="2720"/>
        </w:tabs>
      </w:pPr>
    </w:p>
    <w:p w14:paraId="33C9A6FE" w14:textId="77777777" w:rsidR="002173A7" w:rsidRDefault="002173A7">
      <w:pPr>
        <w:tabs>
          <w:tab w:val="left" w:pos="2720"/>
        </w:tabs>
      </w:pPr>
    </w:p>
    <w:p w14:paraId="5A1835CA" w14:textId="77777777" w:rsidR="002173A7" w:rsidRDefault="002173A7">
      <w:pPr>
        <w:tabs>
          <w:tab w:val="left" w:pos="2720"/>
        </w:tabs>
      </w:pPr>
    </w:p>
    <w:sectPr w:rsidR="002173A7">
      <w:headerReference w:type="default" r:id="rId10"/>
      <w:footerReference w:type="default" r:id="rId11"/>
      <w:headerReference w:type="first" r:id="rId12"/>
      <w:pgSz w:w="11900" w:h="16840"/>
      <w:pgMar w:top="1531" w:right="992" w:bottom="1276" w:left="10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DED89" w14:textId="77777777" w:rsidR="002173A7" w:rsidRDefault="003A78C0">
      <w:r>
        <w:separator/>
      </w:r>
    </w:p>
  </w:endnote>
  <w:endnote w:type="continuationSeparator" w:id="0">
    <w:p w14:paraId="611978E8" w14:textId="77777777" w:rsidR="002173A7" w:rsidRDefault="003A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68EC" w14:textId="77777777" w:rsidR="002173A7" w:rsidRDefault="003A78C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3E2E3CA8" wp14:editId="0ED9BFD8">
          <wp:simplePos x="0" y="0"/>
          <wp:positionH relativeFrom="page">
            <wp:align>right</wp:align>
          </wp:positionH>
          <wp:positionV relativeFrom="paragraph">
            <wp:posOffset>-1952625</wp:posOffset>
          </wp:positionV>
          <wp:extent cx="7550785" cy="2760980"/>
          <wp:effectExtent l="0" t="0" r="0" b="1270"/>
          <wp:wrapNone/>
          <wp:docPr id="3" name="Picture 3" descr="Marketing:Graphic Design:BMT Stationery:2015_LH355 BMT Letterheads:2015_LH355_BMTLetterhead_ALL_PKG:All Addresses:2015_LH355_BMTLetterhead_ALL addresses_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Graphic Design:BMT Stationery:2015_LH355 BMT Letterheads:2015_LH355_BMTLetterhead_ALL_PKG:All Addresses:2015_LH355_BMTLetterhead_ALL addresses_v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276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9F96E" w14:textId="77777777" w:rsidR="002173A7" w:rsidRDefault="00217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46637" w14:textId="77777777" w:rsidR="002173A7" w:rsidRDefault="003A78C0">
      <w:r>
        <w:separator/>
      </w:r>
    </w:p>
  </w:footnote>
  <w:footnote w:type="continuationSeparator" w:id="0">
    <w:p w14:paraId="3A264608" w14:textId="77777777" w:rsidR="002173A7" w:rsidRDefault="003A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B069" w14:textId="77777777" w:rsidR="002173A7" w:rsidRDefault="003A78C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6440C0CE" wp14:editId="233187A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560310" cy="1219835"/>
          <wp:effectExtent l="0" t="0" r="2540" b="0"/>
          <wp:wrapNone/>
          <wp:docPr id="1" name="Picture 1" descr="LH_Logo header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Logo header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56863" w14:textId="77777777" w:rsidR="002173A7" w:rsidRDefault="00217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D342" w14:textId="77777777" w:rsidR="002173A7" w:rsidRDefault="003A78C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52A16788" wp14:editId="150DB0BD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60310" cy="1219835"/>
          <wp:effectExtent l="0" t="0" r="2540" b="0"/>
          <wp:wrapNone/>
          <wp:docPr id="2" name="Picture 2" descr="LH_Logo header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Logo header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160D7" w14:textId="77777777" w:rsidR="002173A7" w:rsidRDefault="00217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56933"/>
    <w:multiLevelType w:val="hybridMultilevel"/>
    <w:tmpl w:val="529A6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A7"/>
    <w:rsid w:val="000C2801"/>
    <w:rsid w:val="000F71C1"/>
    <w:rsid w:val="00195BD3"/>
    <w:rsid w:val="002173A7"/>
    <w:rsid w:val="002578B0"/>
    <w:rsid w:val="003A78C0"/>
    <w:rsid w:val="00474E2F"/>
    <w:rsid w:val="005034B1"/>
    <w:rsid w:val="00512670"/>
    <w:rsid w:val="006977A9"/>
    <w:rsid w:val="006F7DEB"/>
    <w:rsid w:val="007E088C"/>
    <w:rsid w:val="0085342F"/>
    <w:rsid w:val="00CB28CF"/>
    <w:rsid w:val="00D857C2"/>
    <w:rsid w:val="00E32253"/>
    <w:rsid w:val="00E3657D"/>
    <w:rsid w:val="00EB4243"/>
    <w:rsid w:val="00F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03CB8009"/>
  <w14:defaultImageDpi w14:val="300"/>
  <w15:docId w15:val="{23B221E7-040D-4F80-8BB1-06BAF46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548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A78C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6977A9"/>
    <w:pPr>
      <w:spacing w:before="60" w:after="60"/>
      <w:ind w:left="720"/>
      <w:contextualSpacing/>
    </w:pPr>
    <w:rPr>
      <w:rFonts w:ascii="Calibri" w:eastAsia="Calibri" w:hAnsi="Calibri" w:cs="Times New Roman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C2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F6E9-D4E6-40CC-AED5-A303C35C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BMT Tax Depreciation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Rani Bonwick</cp:lastModifiedBy>
  <cp:revision>9</cp:revision>
  <cp:lastPrinted>2019-10-08T04:02:00Z</cp:lastPrinted>
  <dcterms:created xsi:type="dcterms:W3CDTF">2018-12-17T23:34:00Z</dcterms:created>
  <dcterms:modified xsi:type="dcterms:W3CDTF">2020-01-20T23:53:00Z</dcterms:modified>
</cp:coreProperties>
</file>